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105</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219429</w:t>
      </w:r>
    </w:p>
    <w:p>
      <w:pPr>
        <w:rPr>
          <w:rFonts w:ascii="Arial" w:hAnsi="Arial" w:eastAsia="宋体"/>
          <w:b/>
          <w:color w:val="auto"/>
          <w:sz w:val="24"/>
          <w:lang w:val="en-GB" w:eastAsia="zh-CN"/>
        </w:rPr>
      </w:pPr>
      <w:r>
        <w:rPr>
          <w:rFonts w:hint="eastAsia" w:ascii="Arial" w:hAnsi="Arial" w:eastAsia="MS Mincho" w:cs="Arial"/>
          <w:b/>
          <w:sz w:val="24"/>
          <w:szCs w:val="24"/>
          <w:highlight w:val="none"/>
          <w:lang w:eastAsia="en-US"/>
        </w:rPr>
        <w:t>Toulouse, France</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14 </w:t>
      </w:r>
      <w:r>
        <w:rPr>
          <w:rFonts w:ascii="Arial" w:hAnsi="Arial" w:cs="Arial"/>
          <w:b/>
          <w:bCs/>
          <w:sz w:val="24"/>
          <w:szCs w:val="24"/>
        </w:rPr>
        <w:t>–</w:t>
      </w:r>
      <w:r>
        <w:rPr>
          <w:rFonts w:hint="eastAsia" w:ascii="Arial" w:hAnsi="Arial" w:eastAsia="宋体" w:cs="Arial"/>
          <w:b/>
          <w:bCs/>
          <w:sz w:val="24"/>
          <w:szCs w:val="24"/>
          <w:lang w:val="en-US" w:eastAsia="zh-CN"/>
        </w:rPr>
        <w:t xml:space="preserve"> 18</w:t>
      </w:r>
      <w:r>
        <w:rPr>
          <w:rFonts w:ascii="Arial" w:hAnsi="Arial" w:cs="Arial"/>
          <w:b/>
          <w:bCs/>
          <w:sz w:val="24"/>
          <w:szCs w:val="24"/>
        </w:rPr>
        <w:t xml:space="preserve"> </w:t>
      </w:r>
      <w:r>
        <w:rPr>
          <w:rFonts w:hint="eastAsia" w:ascii="Arial" w:hAnsi="Arial" w:eastAsia="宋体" w:cs="Arial"/>
          <w:b/>
          <w:bCs/>
          <w:sz w:val="24"/>
          <w:szCs w:val="24"/>
          <w:lang w:val="en-US" w:eastAsia="zh-CN"/>
        </w:rPr>
        <w:t>Nov</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general aspects for air-to-ground network</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8.13.4.1</w:t>
      </w:r>
      <w:bookmarkStart w:id="2" w:name="_GoBack"/>
      <w:bookmarkEnd w:id="2"/>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96 meeting, a revised WID[1] for Rel-18 was approved </w:t>
      </w:r>
      <w:r>
        <w:rPr>
          <w:rFonts w:hint="eastAsia"/>
          <w:lang w:val="en-US" w:eastAsia="zh-CN"/>
        </w:rPr>
        <w:t>to study the air-to-ground for NR. The objective of this WID is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Cs/>
                <w:lang w:eastAsia="zh-CN"/>
              </w:rPr>
            </w:pPr>
            <w:r>
              <w:rPr>
                <w:rFonts w:hint="eastAsia"/>
                <w:bCs/>
                <w:lang w:eastAsia="zh-CN"/>
              </w:rPr>
              <w:t>T</w:t>
            </w:r>
            <w:r>
              <w:rPr>
                <w:bCs/>
                <w:lang w:eastAsia="zh-CN"/>
              </w:rPr>
              <w:t>he core part of this work item includes</w:t>
            </w:r>
          </w:p>
          <w:p>
            <w:pPr>
              <w:widowControl w:val="0"/>
              <w:numPr>
                <w:ilvl w:val="0"/>
                <w:numId w:val="4"/>
              </w:numPr>
              <w:overflowPunct/>
              <w:autoSpaceDE/>
              <w:autoSpaceDN/>
              <w:adjustRightInd/>
              <w:spacing w:after="0"/>
              <w:jc w:val="both"/>
              <w:textAlignment w:val="auto"/>
              <w:rPr>
                <w:kern w:val="2"/>
                <w:lang w:val="en-US" w:eastAsia="zh-CN"/>
              </w:rPr>
            </w:pPr>
            <w:r>
              <w:rPr>
                <w:kern w:val="2"/>
                <w:lang w:val="en-US" w:eastAsia="zh-CN"/>
              </w:rPr>
              <w:t xml:space="preserve">Specify features to core specifications </w:t>
            </w:r>
            <w:r>
              <w:rPr>
                <w:rFonts w:hint="eastAsia"/>
                <w:kern w:val="2"/>
                <w:lang w:val="en-US" w:eastAsia="zh-CN"/>
              </w:rPr>
              <w:t xml:space="preserve">for ATG BS and UE </w:t>
            </w:r>
            <w:r>
              <w:rPr>
                <w:kern w:val="2"/>
                <w:lang w:val="en-US" w:eastAsia="zh-CN"/>
              </w:rPr>
              <w:t>[RAN4]</w:t>
            </w:r>
          </w:p>
          <w:p>
            <w:pPr>
              <w:widowControl w:val="0"/>
              <w:numPr>
                <w:ilvl w:val="1"/>
                <w:numId w:val="4"/>
              </w:numPr>
              <w:overflowPunct/>
              <w:autoSpaceDE/>
              <w:autoSpaceDN/>
              <w:adjustRightInd/>
              <w:spacing w:after="0"/>
              <w:jc w:val="both"/>
              <w:textAlignment w:val="auto"/>
              <w:rPr>
                <w:kern w:val="2"/>
                <w:lang w:val="en-US" w:eastAsia="zh-CN"/>
              </w:rPr>
            </w:pPr>
            <w:r>
              <w:rPr>
                <w:kern w:val="2"/>
                <w:lang w:val="en-US" w:eastAsia="zh-CN"/>
              </w:rPr>
              <w:t xml:space="preserve">Scenario: </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BS on the ground, and the CPE type of UE mounted in the aircraft</w:t>
            </w:r>
          </w:p>
          <w:p>
            <w:pPr>
              <w:widowControl w:val="0"/>
              <w:numPr>
                <w:ilvl w:val="2"/>
                <w:numId w:val="4"/>
              </w:numPr>
              <w:overflowPunct/>
              <w:autoSpaceDE/>
              <w:autoSpaceDN/>
              <w:adjustRightInd/>
              <w:spacing w:after="0"/>
              <w:jc w:val="both"/>
              <w:textAlignment w:val="auto"/>
              <w:rPr>
                <w:rFonts w:hint="eastAsia"/>
                <w:kern w:val="2"/>
                <w:lang w:val="en-US" w:eastAsia="zh-CN"/>
              </w:rPr>
            </w:pPr>
            <w:r>
              <w:rPr>
                <w:kern w:val="2"/>
                <w:lang w:val="en-US" w:eastAsia="zh-CN"/>
              </w:rPr>
              <w:t>A direct radio link between BS on the ground and CPE type of UE mounted in the aircraft</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Note: The deployment characteristics described in</w:t>
            </w:r>
            <w:r>
              <w:rPr>
                <w:rFonts w:hint="eastAsia"/>
                <w:kern w:val="2"/>
                <w:lang w:val="en-US" w:eastAsia="zh-CN"/>
              </w:rPr>
              <w:t xml:space="preserve"> the</w:t>
            </w:r>
            <w:r>
              <w:rPr>
                <w:kern w:val="2"/>
                <w:lang w:val="en-US" w:eastAsia="zh-CN"/>
              </w:rPr>
              <w:t xml:space="preserve"> justification </w:t>
            </w:r>
            <w:r>
              <w:rPr>
                <w:rFonts w:hint="eastAsia"/>
                <w:kern w:val="2"/>
                <w:lang w:val="en-US" w:eastAsia="zh-CN"/>
              </w:rPr>
              <w:t>section shall be taken as a basis for the technical discussion</w:t>
            </w:r>
            <w:r>
              <w:rPr>
                <w:kern w:val="2"/>
                <w:lang w:val="en-US" w:eastAsia="zh-CN"/>
              </w:rPr>
              <w:t>.</w:t>
            </w:r>
          </w:p>
          <w:p>
            <w:pPr>
              <w:widowControl w:val="0"/>
              <w:numPr>
                <w:ilvl w:val="1"/>
                <w:numId w:val="4"/>
              </w:numPr>
              <w:overflowPunct/>
              <w:autoSpaceDE/>
              <w:autoSpaceDN/>
              <w:adjustRightInd/>
              <w:spacing w:after="0"/>
              <w:jc w:val="both"/>
              <w:textAlignment w:val="auto"/>
              <w:rPr>
                <w:kern w:val="2"/>
                <w:lang w:val="en-US" w:eastAsia="zh-CN"/>
              </w:rPr>
            </w:pPr>
            <w:r>
              <w:rPr>
                <w:kern w:val="2"/>
                <w:lang w:val="en-US" w:eastAsia="zh-CN"/>
              </w:rPr>
              <w:t>Specify core requirements for coexistence between ATG and IMT terrestrial network</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Example bands include n1, n78 and n79.</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Perform FR1 co-existence evaluation for ATG network (e.g. ACLR, ACS)</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Identify key characteristics where it is necessary to differentiate ATG ground-based BS and UEs from conventional ground based BS and UEs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Aim to reuse existing requirements for BS and UE where possible, e.g.,</w:t>
            </w:r>
          </w:p>
          <w:p>
            <w:pPr>
              <w:widowControl w:val="0"/>
              <w:numPr>
                <w:ilvl w:val="4"/>
                <w:numId w:val="4"/>
              </w:numPr>
              <w:overflowPunct/>
              <w:autoSpaceDE/>
              <w:autoSpaceDN/>
              <w:adjustRightInd/>
              <w:spacing w:after="0"/>
              <w:jc w:val="both"/>
              <w:textAlignment w:val="auto"/>
              <w:rPr>
                <w:kern w:val="2"/>
                <w:lang w:val="en-US" w:eastAsia="zh-CN"/>
              </w:rPr>
            </w:pPr>
            <w:r>
              <w:rPr>
                <w:kern w:val="2"/>
                <w:lang w:val="en-US" w:eastAsia="zh-CN"/>
              </w:rPr>
              <w:t>Reuse TN BS requirements for ATG BS</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Specify RF requirements for ATG UE/BS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Considering the results of co-existence simulations in terms of impact on emissions and RX requirements, cell sizes and link budgets, technology capabilities, likely BS and UE architectures and other relevant aspects.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Taking into account identified differences between ATG and fully ground based systems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Consider BS type 1-C/1-H/1-O and specify the requirements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Consider conductive requirements for UE</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Specify RRM core requirements for ATG UE</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Taking into account identified differences between ATG and fully ground based systems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Considering the different nature of ATG UEs and their view of the network, increased cell sizes and</w:t>
            </w:r>
            <w:r>
              <w:rPr>
                <w:rFonts w:hint="eastAsia"/>
                <w:kern w:val="2"/>
                <w:lang w:val="en-US" w:eastAsia="zh-CN"/>
              </w:rPr>
              <w:t xml:space="preserve"> </w:t>
            </w:r>
            <w:r>
              <w:rPr>
                <w:kern w:val="2"/>
                <w:lang w:val="en-US" w:eastAsia="zh-CN"/>
              </w:rPr>
              <w:t>other relevant aspects</w:t>
            </w:r>
          </w:p>
          <w:p>
            <w:pPr>
              <w:widowControl w:val="0"/>
              <w:numPr>
                <w:ilvl w:val="2"/>
                <w:numId w:val="4"/>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r>
              <w:rPr>
                <w:rFonts w:ascii="Times New Roman" w:hAnsi="Times New Roman" w:eastAsia="Times New Roman" w:cs="Times New Roman"/>
                <w:kern w:val="2"/>
                <w:sz w:val="20"/>
                <w:szCs w:val="24"/>
                <w:lang w:val="en-US" w:eastAsia="zh-CN" w:bidi="ar-SA"/>
              </w:rPr>
              <w:t>Specify new UE/BS type(s) for ATG network if necessary</w:t>
            </w:r>
          </w:p>
        </w:tc>
      </w:tr>
    </w:tbl>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last meeting, RAN4 has spread general discussion on RRM aspects in ATG case. The following agreements were achieved in [2] around general aspects: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1" w:hRule="atLeast"/>
        </w:trPr>
        <w:tc>
          <w:tcPr>
            <w:tcW w:w="9514" w:type="dxa"/>
          </w:tcPr>
          <w:p>
            <w:pPr>
              <w:pStyle w:val="4"/>
              <w:keepNext w:val="0"/>
              <w:keepLines w:val="0"/>
              <w:pageBreakBefore w:val="0"/>
              <w:tabs>
                <w:tab w:val="left" w:pos="226"/>
                <w:tab w:val="left" w:pos="284"/>
                <w:tab w:val="left" w:pos="5103"/>
              </w:tabs>
              <w:kinsoku/>
              <w:wordWrap/>
              <w:overflowPunct/>
              <w:topLinePunct w:val="0"/>
              <w:bidi w:val="0"/>
              <w:snapToGrid w:val="0"/>
              <w:spacing w:after="0"/>
              <w:textAlignment w:val="auto"/>
              <w:rPr>
                <w:rFonts w:hint="eastAsia"/>
                <w:b/>
                <w:bCs/>
                <w:sz w:val="24"/>
                <w:szCs w:val="24"/>
                <w:u w:val="none"/>
                <w:lang w:val="en-US" w:eastAsia="zh-CN"/>
              </w:rPr>
            </w:pPr>
            <w:r>
              <w:rPr>
                <w:rFonts w:hint="eastAsia"/>
                <w:b/>
                <w:bCs/>
                <w:sz w:val="24"/>
                <w:szCs w:val="24"/>
                <w:u w:val="none"/>
                <w:lang w:val="en-US" w:eastAsia="zh-CN"/>
              </w:rPr>
              <w:t>General:</w:t>
            </w:r>
          </w:p>
          <w:p>
            <w:pPr>
              <w:rPr>
                <w:rFonts w:eastAsia="Malgun Gothic"/>
                <w:b/>
                <w:sz w:val="20"/>
                <w:szCs w:val="20"/>
                <w:u w:val="single"/>
                <w:lang w:eastAsia="ko-KR"/>
              </w:rPr>
            </w:pPr>
            <w:bookmarkStart w:id="0" w:name="_Hlk70326378"/>
            <w:r>
              <w:rPr>
                <w:b/>
                <w:sz w:val="20"/>
                <w:szCs w:val="20"/>
                <w:u w:val="single"/>
                <w:lang w:eastAsia="ko-KR"/>
              </w:rPr>
              <w:t>Issue 1-1: ISD assumption</w:t>
            </w:r>
          </w:p>
          <w:p>
            <w:pPr>
              <w:rPr>
                <w:rFonts w:eastAsiaTheme="minorEastAsia"/>
                <w:iCs/>
                <w:sz w:val="20"/>
                <w:szCs w:val="20"/>
              </w:rPr>
            </w:pPr>
            <w:r>
              <w:rPr>
                <w:rFonts w:eastAsiaTheme="minorEastAsia"/>
                <w:iCs/>
                <w:sz w:val="20"/>
                <w:szCs w:val="20"/>
              </w:rPr>
              <w:t>Agreement in GTW session:</w:t>
            </w:r>
          </w:p>
          <w:p>
            <w:pPr>
              <w:numPr>
                <w:ilvl w:val="0"/>
                <w:numId w:val="5"/>
              </w:numPr>
              <w:ind w:left="935" w:hanging="357"/>
              <w:rPr>
                <w:rFonts w:eastAsia="宋体"/>
                <w:sz w:val="20"/>
                <w:szCs w:val="20"/>
              </w:rPr>
            </w:pPr>
            <w:r>
              <w:rPr>
                <w:rFonts w:eastAsia="宋体"/>
                <w:sz w:val="20"/>
                <w:szCs w:val="20"/>
              </w:rPr>
              <w:t>First study ATG RRM requirements with ISD assumption of 100-200km. If RF session comes to other conclusions beyond the assumption range, RRM can come back for more study on ISD related requirements.</w:t>
            </w:r>
          </w:p>
          <w:p>
            <w:pPr>
              <w:rPr>
                <w:b/>
                <w:sz w:val="20"/>
                <w:szCs w:val="20"/>
                <w:u w:val="single"/>
                <w:lang w:eastAsia="ko-KR"/>
              </w:rPr>
            </w:pPr>
            <w:r>
              <w:rPr>
                <w:b/>
                <w:sz w:val="20"/>
                <w:szCs w:val="20"/>
                <w:u w:val="single"/>
                <w:lang w:eastAsia="ko-KR"/>
              </w:rPr>
              <w:t>Issue 1-2: Duplex mode and SCS</w:t>
            </w:r>
          </w:p>
          <w:p>
            <w:pPr>
              <w:numPr>
                <w:ilvl w:val="0"/>
                <w:numId w:val="5"/>
              </w:numPr>
              <w:ind w:left="935" w:hanging="357"/>
              <w:rPr>
                <w:sz w:val="20"/>
                <w:szCs w:val="20"/>
              </w:rPr>
            </w:pPr>
            <w:r>
              <w:rPr>
                <w:sz w:val="20"/>
                <w:szCs w:val="20"/>
              </w:rPr>
              <w:t>Option 1: Consider FDD 15kHz SCS and TDD 30kHz SCS as the basic assumption for ATG RRM study. (CMCC, CATT, LGE)</w:t>
            </w:r>
          </w:p>
          <w:p>
            <w:pPr>
              <w:numPr>
                <w:ilvl w:val="0"/>
                <w:numId w:val="5"/>
              </w:numPr>
              <w:ind w:left="935" w:hanging="357"/>
              <w:rPr>
                <w:sz w:val="20"/>
                <w:szCs w:val="20"/>
              </w:rPr>
            </w:pPr>
            <w:r>
              <w:rPr>
                <w:sz w:val="20"/>
                <w:szCs w:val="20"/>
              </w:rPr>
              <w:t xml:space="preserve">Option 2: </w:t>
            </w:r>
            <w:r>
              <w:rPr>
                <w:rFonts w:hint="eastAsia"/>
                <w:sz w:val="20"/>
                <w:szCs w:val="20"/>
              </w:rPr>
              <w:t>D</w:t>
            </w:r>
            <w:r>
              <w:rPr>
                <w:sz w:val="20"/>
                <w:szCs w:val="20"/>
              </w:rPr>
              <w:t>iscuss the Duplex mode and SCS in perf stage (HW, QC, CMCC, Ericsson)</w:t>
            </w:r>
          </w:p>
          <w:p>
            <w:pPr>
              <w:rPr>
                <w:b/>
                <w:sz w:val="20"/>
                <w:szCs w:val="20"/>
                <w:u w:val="single"/>
                <w:lang w:eastAsia="ko-KR"/>
              </w:rPr>
            </w:pPr>
            <w:r>
              <w:rPr>
                <w:b/>
                <w:sz w:val="20"/>
                <w:szCs w:val="20"/>
                <w:u w:val="single"/>
                <w:lang w:eastAsia="ko-KR"/>
              </w:rPr>
              <w:t>Issue 1-3: TDD pattern</w:t>
            </w:r>
          </w:p>
          <w:p>
            <w:pPr>
              <w:numPr>
                <w:ilvl w:val="0"/>
                <w:numId w:val="5"/>
              </w:numPr>
              <w:ind w:left="935" w:hanging="357"/>
              <w:rPr>
                <w:sz w:val="20"/>
                <w:szCs w:val="20"/>
              </w:rPr>
            </w:pPr>
            <w:r>
              <w:rPr>
                <w:sz w:val="20"/>
                <w:szCs w:val="20"/>
              </w:rPr>
              <w:t>Option 1: An ATG system needs a full slot or even several slots of GP, however the large ISD and beamforming might mitigate any issues with regards to GP for TDD.  (Ericsson)</w:t>
            </w:r>
          </w:p>
          <w:p>
            <w:pPr>
              <w:numPr>
                <w:ilvl w:val="1"/>
                <w:numId w:val="5"/>
              </w:numPr>
              <w:rPr>
                <w:sz w:val="20"/>
                <w:szCs w:val="20"/>
              </w:rPr>
            </w:pPr>
            <w:r>
              <w:rPr>
                <w:sz w:val="20"/>
                <w:szCs w:val="20"/>
              </w:rPr>
              <w:t xml:space="preserve">The guard period for BS to BS interference, for the DL to UL switch is mainly dimensioned by the Tprop_BS2BS, if and when there is unacceptable interference between BS. </w:t>
            </w:r>
          </w:p>
          <w:p>
            <w:pPr>
              <w:numPr>
                <w:ilvl w:val="1"/>
                <w:numId w:val="5"/>
              </w:numPr>
              <w:rPr>
                <w:sz w:val="20"/>
                <w:szCs w:val="20"/>
              </w:rPr>
            </w:pPr>
            <w:r>
              <w:rPr>
                <w:sz w:val="20"/>
                <w:szCs w:val="20"/>
              </w:rPr>
              <w:t>The guard period for UE to UE interference, for the DL to UL switch is mainly dimensioned by the 2*Tprop_cell edge, if and when there is unacceptable interference between nearby UE.</w:t>
            </w:r>
          </w:p>
          <w:p>
            <w:pPr>
              <w:numPr>
                <w:ilvl w:val="0"/>
                <w:numId w:val="5"/>
              </w:numPr>
              <w:ind w:left="935" w:hanging="357"/>
              <w:rPr>
                <w:sz w:val="20"/>
                <w:szCs w:val="20"/>
              </w:rPr>
            </w:pPr>
            <w:r>
              <w:rPr>
                <w:rFonts w:hint="eastAsia"/>
                <w:sz w:val="20"/>
                <w:szCs w:val="20"/>
              </w:rPr>
              <w:t>O</w:t>
            </w:r>
            <w:r>
              <w:rPr>
                <w:sz w:val="20"/>
                <w:szCs w:val="20"/>
              </w:rPr>
              <w:t>ption 2: The TDD pattern is up to NW configuration. No impaction on core requirements is observed, can be further discussed in Perf stage (HW, QC, CMCC, LGE, Ericsson, ZTE, CATT)</w:t>
            </w:r>
          </w:p>
          <w:p>
            <w:pPr>
              <w:rPr>
                <w:b/>
                <w:sz w:val="20"/>
                <w:szCs w:val="20"/>
                <w:u w:val="single"/>
                <w:lang w:eastAsia="ko-KR"/>
              </w:rPr>
            </w:pPr>
            <w:r>
              <w:rPr>
                <w:b/>
                <w:sz w:val="20"/>
                <w:szCs w:val="20"/>
                <w:u w:val="single"/>
                <w:lang w:eastAsia="ko-KR"/>
              </w:rPr>
              <w:t>Issue 1-4-1: UE Assistance information (UE detecting and informing the NW)</w:t>
            </w:r>
          </w:p>
          <w:p>
            <w:pPr>
              <w:rPr>
                <w:b/>
                <w:sz w:val="20"/>
                <w:szCs w:val="20"/>
                <w:u w:val="single"/>
                <w:lang w:eastAsia="ko-KR"/>
              </w:rPr>
            </w:pPr>
            <w:r>
              <w:rPr>
                <w:b/>
                <w:sz w:val="20"/>
                <w:szCs w:val="20"/>
                <w:u w:val="single"/>
                <w:lang w:eastAsia="ko-KR"/>
              </w:rPr>
              <w:t>Issue 1-4-1-1: whether new UAI reporting method could be introduced</w:t>
            </w:r>
          </w:p>
          <w:p>
            <w:pPr>
              <w:numPr>
                <w:ilvl w:val="0"/>
                <w:numId w:val="5"/>
              </w:numPr>
              <w:ind w:left="935" w:hanging="357"/>
              <w:rPr>
                <w:sz w:val="20"/>
                <w:szCs w:val="20"/>
              </w:rPr>
            </w:pPr>
            <w:r>
              <w:rPr>
                <w:rFonts w:hint="eastAsia"/>
                <w:sz w:val="20"/>
                <w:szCs w:val="20"/>
              </w:rPr>
              <w:t>O</w:t>
            </w:r>
            <w:r>
              <w:rPr>
                <w:sz w:val="20"/>
                <w:szCs w:val="20"/>
              </w:rPr>
              <w:t>ption 1: ATG WI should avoid to introduce new UAI reporting method. (CMCC</w:t>
            </w:r>
            <w:r>
              <w:rPr>
                <w:rFonts w:hint="eastAsia" w:eastAsiaTheme="minorEastAsia"/>
                <w:sz w:val="20"/>
                <w:szCs w:val="20"/>
              </w:rPr>
              <w:t>, CATT</w:t>
            </w:r>
            <w:r>
              <w:rPr>
                <w:rFonts w:eastAsiaTheme="minorEastAsia"/>
                <w:sz w:val="20"/>
                <w:szCs w:val="20"/>
              </w:rPr>
              <w:t>, ZTE</w:t>
            </w:r>
            <w:r>
              <w:rPr>
                <w:sz w:val="20"/>
                <w:szCs w:val="20"/>
              </w:rPr>
              <w:t>)</w:t>
            </w:r>
          </w:p>
          <w:p>
            <w:pPr>
              <w:numPr>
                <w:ilvl w:val="0"/>
                <w:numId w:val="5"/>
              </w:numPr>
              <w:ind w:left="935" w:hanging="357"/>
              <w:rPr>
                <w:sz w:val="20"/>
                <w:szCs w:val="20"/>
              </w:rPr>
            </w:pPr>
            <w:r>
              <w:rPr>
                <w:rFonts w:hint="eastAsia"/>
                <w:sz w:val="20"/>
                <w:szCs w:val="20"/>
              </w:rPr>
              <w:t>O</w:t>
            </w:r>
            <w:r>
              <w:rPr>
                <w:sz w:val="20"/>
                <w:szCs w:val="20"/>
              </w:rPr>
              <w:t>ption 2: New UAI reporting method can be discussed and considered to resolve RRM issues in ATG network deployed with large cell coverage. (LGE, Ericsson, QC)</w:t>
            </w:r>
          </w:p>
          <w:p>
            <w:pPr>
              <w:rPr>
                <w:b/>
                <w:sz w:val="20"/>
                <w:szCs w:val="20"/>
                <w:u w:val="single"/>
                <w:lang w:eastAsia="ko-KR"/>
              </w:rPr>
            </w:pPr>
            <w:r>
              <w:rPr>
                <w:b/>
                <w:sz w:val="20"/>
                <w:szCs w:val="20"/>
                <w:u w:val="single"/>
                <w:lang w:eastAsia="ko-KR"/>
              </w:rPr>
              <w:t>Issue 1-4-1-2: Specific UAI</w:t>
            </w:r>
          </w:p>
          <w:p>
            <w:pPr>
              <w:numPr>
                <w:ilvl w:val="0"/>
                <w:numId w:val="5"/>
              </w:numPr>
              <w:ind w:left="935" w:hanging="357"/>
              <w:rPr>
                <w:sz w:val="20"/>
                <w:szCs w:val="20"/>
              </w:rPr>
            </w:pPr>
            <w:r>
              <w:rPr>
                <w:sz w:val="20"/>
                <w:szCs w:val="20"/>
              </w:rPr>
              <w:t>Further discuss the necessity and feasibility of UAI together with specific RRM requirement</w:t>
            </w:r>
          </w:p>
          <w:p>
            <w:pPr>
              <w:rPr>
                <w:b/>
                <w:sz w:val="20"/>
                <w:szCs w:val="20"/>
                <w:u w:val="single"/>
                <w:lang w:eastAsia="ko-KR"/>
              </w:rPr>
            </w:pPr>
            <w:r>
              <w:rPr>
                <w:b/>
                <w:sz w:val="20"/>
                <w:szCs w:val="20"/>
                <w:u w:val="single"/>
                <w:lang w:eastAsia="ko-KR"/>
              </w:rPr>
              <w:t>Issue 1-4-2: Network Assistance information (NW informing the UE)</w:t>
            </w:r>
          </w:p>
          <w:p>
            <w:pPr>
              <w:numPr>
                <w:ilvl w:val="0"/>
                <w:numId w:val="5"/>
              </w:numPr>
              <w:ind w:left="935" w:hanging="357"/>
              <w:rPr>
                <w:sz w:val="20"/>
                <w:szCs w:val="20"/>
              </w:rPr>
            </w:pPr>
            <w:r>
              <w:rPr>
                <w:sz w:val="20"/>
                <w:szCs w:val="20"/>
              </w:rPr>
              <w:t>Further discuss the necessity and feasibility of UAI together with specific RRM requirement</w:t>
            </w:r>
          </w:p>
          <w:p>
            <w:pPr>
              <w:rPr>
                <w:b/>
                <w:sz w:val="20"/>
                <w:szCs w:val="20"/>
                <w:u w:val="single"/>
                <w:lang w:eastAsia="ko-KR"/>
              </w:rPr>
            </w:pPr>
            <w:r>
              <w:rPr>
                <w:b/>
                <w:sz w:val="20"/>
                <w:szCs w:val="20"/>
                <w:u w:val="single"/>
                <w:lang w:eastAsia="ko-KR"/>
              </w:rPr>
              <w:t>Issue 1-5: Band table</w:t>
            </w:r>
          </w:p>
          <w:p>
            <w:pPr>
              <w:numPr>
                <w:ilvl w:val="0"/>
                <w:numId w:val="5"/>
              </w:numPr>
              <w:ind w:left="935" w:hanging="357"/>
              <w:rPr>
                <w:sz w:val="20"/>
                <w:szCs w:val="20"/>
              </w:rPr>
            </w:pPr>
            <w:r>
              <w:rPr>
                <w:sz w:val="20"/>
                <w:szCs w:val="20"/>
              </w:rPr>
              <w:t>W</w:t>
            </w:r>
            <w:r>
              <w:rPr>
                <w:rFonts w:hint="eastAsia"/>
                <w:sz w:val="20"/>
                <w:szCs w:val="20"/>
              </w:rPr>
              <w:t>ait</w:t>
            </w:r>
            <w:r>
              <w:rPr>
                <w:sz w:val="20"/>
                <w:szCs w:val="20"/>
              </w:rPr>
              <w:t xml:space="preserve"> for the conclusion from RF</w:t>
            </w:r>
          </w:p>
          <w:p>
            <w:pPr>
              <w:rPr>
                <w:b/>
                <w:sz w:val="20"/>
                <w:szCs w:val="20"/>
                <w:u w:val="single"/>
                <w:lang w:eastAsia="ko-KR"/>
              </w:rPr>
            </w:pPr>
            <w:r>
              <w:rPr>
                <w:b/>
                <w:sz w:val="20"/>
                <w:szCs w:val="20"/>
                <w:u w:val="single"/>
                <w:lang w:eastAsia="ko-KR"/>
              </w:rPr>
              <w:t>Issue 1-6: Large cell impact on general RRM requirements</w:t>
            </w:r>
          </w:p>
          <w:p>
            <w:pPr>
              <w:numPr>
                <w:ilvl w:val="0"/>
                <w:numId w:val="5"/>
              </w:numPr>
              <w:ind w:left="935" w:hanging="357"/>
              <w:rPr>
                <w:rFonts w:hint="default"/>
                <w:lang w:val="en-US" w:eastAsia="zh-CN"/>
              </w:rPr>
            </w:pPr>
            <w:r>
              <w:rPr>
                <w:sz w:val="20"/>
                <w:szCs w:val="20"/>
              </w:rPr>
              <w:t>RAN4 to further discuss the technical impact to RRM requirement due to the large serving cell radius in ATG system, such as IDLE mode mobility, CONNECTED mode mobility, and measurement procedure etc.</w:t>
            </w:r>
            <w:bookmarkEnd w:id="0"/>
          </w:p>
        </w:tc>
      </w:tr>
    </w:tbl>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this document, we will provide some further analysis on general aspects of ATG based on the multiple new characteristics of ATG compared with traditional fully ground based systems.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Based on the characteristics of ATG system, the following key points should be noted:</w:t>
      </w:r>
    </w:p>
    <w:p>
      <w:pPr>
        <w:numPr>
          <w:ilvl w:val="0"/>
          <w:numId w:val="6"/>
        </w:numPr>
        <w:ind w:left="420" w:leftChars="0" w:hanging="420" w:firstLineChars="0"/>
        <w:rPr>
          <w:rFonts w:hint="default"/>
          <w:lang w:val="en-US" w:eastAsia="zh-CN"/>
        </w:rPr>
      </w:pPr>
      <w:r>
        <w:rPr>
          <w:rFonts w:hint="eastAsia"/>
          <w:lang w:val="en-US" w:eastAsia="zh-CN"/>
        </w:rPr>
        <w:t>Extremely large ISD, e.g. about 100km to 200 km</w:t>
      </w:r>
    </w:p>
    <w:p>
      <w:pPr>
        <w:numPr>
          <w:ilvl w:val="0"/>
          <w:numId w:val="6"/>
        </w:numPr>
        <w:ind w:left="420" w:leftChars="0" w:hanging="420" w:firstLineChars="0"/>
        <w:rPr>
          <w:rFonts w:hint="default"/>
          <w:lang w:val="en-US" w:eastAsia="zh-CN"/>
        </w:rPr>
      </w:pPr>
      <w:r>
        <w:rPr>
          <w:rFonts w:hint="eastAsia"/>
          <w:lang w:val="en-US" w:eastAsia="zh-CN"/>
        </w:rPr>
        <w:t>Extremely high flight speed, e.g. up to 1200km/h</w:t>
      </w:r>
    </w:p>
    <w:p>
      <w:pPr>
        <w:numPr>
          <w:ilvl w:val="0"/>
          <w:numId w:val="6"/>
        </w:numPr>
        <w:ind w:left="420" w:leftChars="0" w:hanging="420" w:firstLineChars="0"/>
        <w:rPr>
          <w:rFonts w:hint="default"/>
          <w:lang w:val="en-US" w:eastAsia="zh-CN"/>
        </w:rPr>
      </w:pPr>
      <w:r>
        <w:rPr>
          <w:rFonts w:hint="eastAsia"/>
          <w:lang w:val="en-US" w:eastAsia="zh-CN"/>
        </w:rPr>
        <w:t>Utilizing same frequency for deploying both ATG and TN(terrestrial network), e.g. n1, n78, n79 -- So only focus on FR1</w:t>
      </w:r>
    </w:p>
    <w:p>
      <w:pPr>
        <w:numPr>
          <w:ilvl w:val="0"/>
          <w:numId w:val="6"/>
        </w:numPr>
        <w:ind w:left="420" w:leftChars="0" w:hanging="420" w:firstLineChars="0"/>
        <w:rPr>
          <w:rFonts w:hint="default"/>
          <w:lang w:val="en-US" w:eastAsia="zh-CN"/>
        </w:rPr>
      </w:pPr>
      <w:r>
        <w:rPr>
          <w:rFonts w:hint="eastAsia"/>
          <w:lang w:val="en-US" w:eastAsia="zh-CN"/>
        </w:rPr>
        <w:t>Much powerful on-board ATG terminal capacity</w:t>
      </w:r>
    </w:p>
    <w:p>
      <w:pPr>
        <w:numPr>
          <w:ilvl w:val="0"/>
          <w:numId w:val="6"/>
        </w:numPr>
        <w:ind w:left="420" w:leftChars="0" w:hanging="420" w:firstLineChars="0"/>
        <w:rPr>
          <w:rFonts w:hint="default"/>
          <w:lang w:val="en-US" w:eastAsia="zh-CN"/>
        </w:rPr>
      </w:pPr>
      <w:r>
        <w:rPr>
          <w:rFonts w:hint="eastAsia"/>
          <w:lang w:val="en-US" w:eastAsia="zh-CN"/>
        </w:rPr>
        <w:t>R18 only focuses on SA mode and single connectivity with operation in a single band. DC, FR2, inter-RAT are not applicable to ATG. CA is possible in future release depending on demands</w:t>
      </w:r>
    </w:p>
    <w:p>
      <w:pPr>
        <w:numPr>
          <w:ilvl w:val="0"/>
          <w:numId w:val="6"/>
        </w:numPr>
        <w:ind w:left="420" w:leftChars="0" w:hanging="420" w:firstLineChars="0"/>
        <w:rPr>
          <w:rFonts w:hint="default"/>
          <w:lang w:val="en-US" w:eastAsia="zh-CN"/>
        </w:rPr>
      </w:pPr>
      <w:r>
        <w:rPr>
          <w:rFonts w:hint="eastAsia"/>
          <w:lang w:val="en-US" w:eastAsia="zh-CN"/>
        </w:rPr>
        <w:t>Height of CPE: 3km--12km</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We provide our analysis for multiple RRM aspects given all the above key points of ATG system.</w:t>
      </w:r>
    </w:p>
    <w:p>
      <w:pPr>
        <w:pStyle w:val="4"/>
        <w:rPr>
          <w:b/>
          <w:sz w:val="20"/>
          <w:szCs w:val="20"/>
          <w:highlight w:val="none"/>
          <w:u w:val="single"/>
          <w:lang w:eastAsia="ko-KR"/>
        </w:rPr>
      </w:pPr>
      <w:r>
        <w:rPr>
          <w:b/>
          <w:sz w:val="20"/>
          <w:szCs w:val="20"/>
          <w:highlight w:val="none"/>
          <w:u w:val="single"/>
          <w:lang w:eastAsia="ko-KR"/>
        </w:rPr>
        <w:t>Duplex mode and SCS</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Respect to this issue, the following options were kept in the WF[2] in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5"/>
              </w:numPr>
              <w:ind w:left="935" w:hanging="357"/>
              <w:rPr>
                <w:sz w:val="20"/>
                <w:szCs w:val="20"/>
              </w:rPr>
            </w:pPr>
            <w:r>
              <w:rPr>
                <w:sz w:val="20"/>
                <w:szCs w:val="20"/>
              </w:rPr>
              <w:t>Option 1: Consider FDD 15kHz SCS and TDD 30kHz SCS as the basic assumption for ATG RRM study.</w:t>
            </w:r>
          </w:p>
          <w:p>
            <w:pPr>
              <w:numPr>
                <w:ilvl w:val="0"/>
                <w:numId w:val="5"/>
              </w:numPr>
              <w:ind w:left="935" w:hanging="357"/>
              <w:rPr>
                <w:b/>
                <w:sz w:val="20"/>
                <w:szCs w:val="20"/>
                <w:highlight w:val="none"/>
                <w:u w:val="single"/>
                <w:vertAlign w:val="baseline"/>
                <w:lang w:eastAsia="ko-KR"/>
              </w:rPr>
            </w:pPr>
            <w:r>
              <w:rPr>
                <w:sz w:val="20"/>
                <w:szCs w:val="20"/>
              </w:rPr>
              <w:t xml:space="preserve">Option 2: </w:t>
            </w:r>
            <w:r>
              <w:rPr>
                <w:rFonts w:hint="eastAsia"/>
                <w:sz w:val="20"/>
                <w:szCs w:val="20"/>
              </w:rPr>
              <w:t>D</w:t>
            </w:r>
            <w:r>
              <w:rPr>
                <w:sz w:val="20"/>
                <w:szCs w:val="20"/>
              </w:rPr>
              <w:t>iscuss the Duplex mode and SCS in perf stage</w:t>
            </w:r>
          </w:p>
        </w:tc>
      </w:tr>
    </w:tbl>
    <w:p>
      <w:pPr>
        <w:pStyle w:val="4"/>
        <w:rPr>
          <w:rFonts w:hint="default" w:eastAsia="宋体"/>
          <w:color w:val="auto"/>
          <w:sz w:val="20"/>
          <w:szCs w:val="20"/>
          <w:lang w:val="en-US" w:eastAsia="zh-CN"/>
        </w:rPr>
      </w:pPr>
      <w:r>
        <w:rPr>
          <w:rFonts w:hint="eastAsia" w:eastAsia="宋体"/>
          <w:color w:val="auto"/>
          <w:sz w:val="20"/>
          <w:szCs w:val="20"/>
          <w:lang w:val="en-US" w:eastAsia="zh-CN"/>
        </w:rPr>
        <w:t>This issue is not any technical related, the motivation of proponent is just aim to facilitate the discussion and evaluation on some RRM core requirements, such as timing requirement. We are fine with the motivation. But we believe under both FDD and TDD, not any SCS can be excluded at this stage. So Option 1 may lead to some unnecessary exclusion too early. So we prefer Option 2 or not provide any restriction at this stage. When we design the test case in perf part, so as to relieve the workload of test, the test case can be specified under some configuration of SCS for each duplex mode.</w:t>
      </w:r>
    </w:p>
    <w:p>
      <w:pPr>
        <w:pStyle w:val="4"/>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1: Restriction on the duplex mode and SCS may lead to some unnecessary exclusion too early. We can specify the combination of duplex mode and SCS at perf part and not provide any restriction at this stage. So the combination between FDD/TDD and 15kHz/30kHz are all possible.</w:t>
      </w:r>
    </w:p>
    <w:p>
      <w:pPr>
        <w:pStyle w:val="4"/>
        <w:rPr>
          <w:rFonts w:hint="eastAsia" w:eastAsia="宋体"/>
          <w:b/>
          <w:sz w:val="20"/>
          <w:szCs w:val="20"/>
          <w:highlight w:val="none"/>
          <w:u w:val="single"/>
          <w:lang w:val="en-US" w:eastAsia="zh-CN"/>
        </w:rPr>
      </w:pPr>
      <w:r>
        <w:rPr>
          <w:rFonts w:hint="eastAsia" w:eastAsia="宋体"/>
          <w:b/>
          <w:sz w:val="20"/>
          <w:szCs w:val="20"/>
          <w:highlight w:val="none"/>
          <w:u w:val="single"/>
          <w:lang w:val="en-US" w:eastAsia="zh-CN"/>
        </w:rPr>
        <w:t>TDD pattern</w:t>
      </w:r>
    </w:p>
    <w:p>
      <w:pPr>
        <w:pStyle w:val="4"/>
        <w:rPr>
          <w:rFonts w:hint="eastAsia" w:eastAsia="宋体"/>
          <w:color w:val="auto"/>
          <w:sz w:val="20"/>
          <w:szCs w:val="20"/>
          <w:lang w:val="en-US" w:eastAsia="zh-CN"/>
        </w:rPr>
      </w:pPr>
      <w:r>
        <w:rPr>
          <w:rFonts w:hint="eastAsia" w:eastAsia="宋体"/>
          <w:color w:val="auto"/>
          <w:sz w:val="20"/>
          <w:szCs w:val="20"/>
          <w:lang w:val="en-US" w:eastAsia="zh-CN"/>
        </w:rPr>
        <w:t>During last meeting, some exact TDD pattern was proposed with the consideration of large ISD. Since of the support of large ISD, when decide the TDD pattern, longer duration of GP should be considered. Finally the follow options were kept in the WF[2]: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5"/>
              </w:numPr>
              <w:ind w:left="935" w:hanging="357"/>
              <w:rPr>
                <w:sz w:val="20"/>
                <w:szCs w:val="20"/>
              </w:rPr>
            </w:pPr>
            <w:r>
              <w:rPr>
                <w:sz w:val="20"/>
                <w:szCs w:val="20"/>
              </w:rPr>
              <w:t xml:space="preserve">Option 1: An ATG system needs a full slot or even several slots of GP, however the large ISD and beamforming might mitigate any issues with regards to GP for TDD.  </w:t>
            </w:r>
          </w:p>
          <w:p>
            <w:pPr>
              <w:numPr>
                <w:ilvl w:val="1"/>
                <w:numId w:val="5"/>
              </w:numPr>
              <w:rPr>
                <w:sz w:val="20"/>
                <w:szCs w:val="20"/>
              </w:rPr>
            </w:pPr>
            <w:r>
              <w:rPr>
                <w:sz w:val="20"/>
                <w:szCs w:val="20"/>
              </w:rPr>
              <w:t xml:space="preserve">The guard period for BS to BS interference, for the DL to UL switch is mainly dimensioned by the Tprop_BS2BS, if and when there is unacceptable interference between BS. </w:t>
            </w:r>
          </w:p>
          <w:p>
            <w:pPr>
              <w:numPr>
                <w:ilvl w:val="1"/>
                <w:numId w:val="5"/>
              </w:numPr>
              <w:rPr>
                <w:sz w:val="20"/>
                <w:szCs w:val="20"/>
              </w:rPr>
            </w:pPr>
            <w:r>
              <w:rPr>
                <w:sz w:val="20"/>
                <w:szCs w:val="20"/>
              </w:rPr>
              <w:t>The guard period for UE to UE interference, for the DL to UL switch is mainly dimensioned by the 2*Tprop_cell edge, if and when there is unacceptable interference between nearby UE.</w:t>
            </w:r>
          </w:p>
          <w:p>
            <w:pPr>
              <w:numPr>
                <w:ilvl w:val="0"/>
                <w:numId w:val="5"/>
              </w:numPr>
              <w:ind w:left="935" w:hanging="357"/>
              <w:rPr>
                <w:rFonts w:hint="eastAsia" w:eastAsia="宋体"/>
                <w:color w:val="auto"/>
                <w:sz w:val="20"/>
                <w:szCs w:val="20"/>
                <w:vertAlign w:val="baseline"/>
                <w:lang w:val="en-US" w:eastAsia="zh-CN"/>
              </w:rPr>
            </w:pPr>
            <w:r>
              <w:rPr>
                <w:rFonts w:hint="eastAsia"/>
                <w:sz w:val="20"/>
                <w:szCs w:val="20"/>
              </w:rPr>
              <w:t>O</w:t>
            </w:r>
            <w:r>
              <w:rPr>
                <w:sz w:val="20"/>
                <w:szCs w:val="20"/>
              </w:rPr>
              <w:t>ption 2: The TDD pattern is up to NW configuration. No impaction on core requirements is observed, can be further discussed in Perf stage</w:t>
            </w:r>
            <w:r>
              <w:rPr>
                <w:rFonts w:hint="eastAsia" w:eastAsia="宋体"/>
                <w:sz w:val="20"/>
                <w:szCs w:val="20"/>
                <w:lang w:val="en-US" w:eastAsia="zh-CN"/>
              </w:rPr>
              <w:t>.</w:t>
            </w:r>
          </w:p>
        </w:tc>
      </w:tr>
    </w:tbl>
    <w:p>
      <w:pPr>
        <w:pStyle w:val="4"/>
        <w:rPr>
          <w:rFonts w:hint="eastAsia" w:eastAsia="宋体"/>
          <w:color w:val="auto"/>
          <w:sz w:val="20"/>
          <w:szCs w:val="20"/>
          <w:lang w:val="en-US" w:eastAsia="zh-CN"/>
        </w:rPr>
      </w:pPr>
      <w:r>
        <w:rPr>
          <w:rFonts w:hint="eastAsia" w:eastAsia="宋体"/>
          <w:color w:val="auto"/>
          <w:sz w:val="20"/>
          <w:szCs w:val="20"/>
          <w:lang w:val="en-US" w:eastAsia="zh-CN"/>
        </w:rPr>
        <w:t>Since the large ISD would lead to longer propagation delay, if not applying long enough guard period, the cross-link interference between ATG gNBs and ATG UEs would degrade the performance, so longer guard period should be guaranteed, referring to the TDD pattern configuration, more flexible symbols between DL and UL are necessary.</w:t>
      </w:r>
    </w:p>
    <w:p>
      <w:pPr>
        <w:pStyle w:val="4"/>
        <w:rPr>
          <w:rFonts w:hint="eastAsia" w:eastAsia="宋体"/>
          <w:color w:val="auto"/>
          <w:sz w:val="20"/>
          <w:szCs w:val="20"/>
          <w:lang w:val="en-US" w:eastAsia="zh-CN"/>
        </w:rPr>
      </w:pPr>
      <w:r>
        <w:rPr>
          <w:rFonts w:hint="eastAsia" w:eastAsia="宋体"/>
          <w:color w:val="auto"/>
          <w:sz w:val="20"/>
          <w:szCs w:val="20"/>
          <w:lang w:val="en-US" w:eastAsia="zh-CN"/>
        </w:rPr>
        <w:t xml:space="preserve">If configuring more flexible symbols in the TDD pattern, so as to control the overhead of GP, then longer TDD pattern period is necessary, such as 20ms. </w:t>
      </w:r>
    </w:p>
    <w:p>
      <w:pPr>
        <w:pStyle w:val="4"/>
        <w:rPr>
          <w:rFonts w:hint="eastAsia" w:eastAsia="宋体"/>
          <w:color w:val="auto"/>
          <w:sz w:val="20"/>
          <w:szCs w:val="20"/>
          <w:lang w:val="en-US" w:eastAsia="zh-CN"/>
        </w:rPr>
      </w:pPr>
      <w:r>
        <w:rPr>
          <w:rFonts w:hint="eastAsia" w:eastAsia="宋体"/>
          <w:color w:val="auto"/>
          <w:sz w:val="20"/>
          <w:szCs w:val="20"/>
          <w:lang w:val="en-US" w:eastAsia="zh-CN"/>
        </w:rPr>
        <w:t>All in all, the exact TDD pattern should be up to NW configuration, and the longer flexible and longer periodicity are expected by ATG UE.</w:t>
      </w:r>
    </w:p>
    <w:p>
      <w:pPr>
        <w:pStyle w:val="4"/>
        <w:rPr>
          <w:rFonts w:hint="default" w:eastAsia="宋体"/>
          <w:b/>
          <w:sz w:val="20"/>
          <w:szCs w:val="20"/>
          <w:highlight w:val="none"/>
          <w:u w:val="single"/>
          <w:lang w:val="en-US" w:eastAsia="zh-CN"/>
        </w:rPr>
      </w:pPr>
      <w:r>
        <w:rPr>
          <w:rFonts w:hint="eastAsia" w:eastAsia="宋体" w:cs="Times New Roman"/>
          <w:b/>
          <w:bCs/>
          <w:color w:val="auto"/>
          <w:sz w:val="20"/>
          <w:szCs w:val="20"/>
          <w:highlight w:val="none"/>
          <w:lang w:val="en-US" w:eastAsia="zh-CN" w:bidi="ar-SA"/>
        </w:rPr>
        <w:t>Proposal 2: Referring to TDD pattern for ATG, the exact TDD pattern should be up to NW configuration, and the longer flexible and longer periodicity are expected by ATG UE.</w:t>
      </w:r>
    </w:p>
    <w:p>
      <w:pPr>
        <w:pStyle w:val="4"/>
        <w:rPr>
          <w:rFonts w:hint="default" w:eastAsia="宋体"/>
          <w:b/>
          <w:sz w:val="20"/>
          <w:szCs w:val="20"/>
          <w:highlight w:val="none"/>
          <w:u w:val="single"/>
          <w:lang w:val="en-US" w:eastAsia="zh-CN"/>
        </w:rPr>
      </w:pPr>
      <w:r>
        <w:rPr>
          <w:rFonts w:hint="eastAsia" w:eastAsia="宋体"/>
          <w:b/>
          <w:sz w:val="20"/>
          <w:szCs w:val="20"/>
          <w:highlight w:val="none"/>
          <w:u w:val="single"/>
          <w:lang w:val="en-US" w:eastAsia="zh-CN"/>
        </w:rPr>
        <w:t>UE assistance information(UE detecting and informing the NW)</w:t>
      </w:r>
    </w:p>
    <w:p>
      <w:pPr>
        <w:pStyle w:val="4"/>
        <w:rPr>
          <w:rFonts w:hint="default" w:eastAsia="宋体"/>
          <w:color w:val="auto"/>
          <w:sz w:val="20"/>
          <w:szCs w:val="20"/>
          <w:lang w:val="en-US" w:eastAsia="zh-CN"/>
        </w:rPr>
      </w:pPr>
      <w:r>
        <w:rPr>
          <w:rFonts w:hint="eastAsia" w:eastAsia="宋体"/>
          <w:color w:val="auto"/>
          <w:sz w:val="20"/>
          <w:szCs w:val="20"/>
          <w:lang w:val="en-US" w:eastAsia="zh-CN"/>
        </w:rPr>
        <w:t>In last meeting, multiple types of UAI were discussed, including the UAI of altitude, location, velocity, flight path, propagation delay information and remaining service time for serving cell. It seems that all of these UAI are helpful to address the timing and frequency syn related issues caused by large ISD and high speed of moving.</w:t>
      </w:r>
    </w:p>
    <w:p>
      <w:pPr>
        <w:pStyle w:val="4"/>
        <w:rPr>
          <w:rFonts w:hint="eastAsia" w:eastAsia="宋体"/>
          <w:color w:val="auto"/>
          <w:sz w:val="20"/>
          <w:szCs w:val="20"/>
          <w:lang w:val="en-US" w:eastAsia="zh-CN"/>
        </w:rPr>
      </w:pPr>
      <w:r>
        <w:rPr>
          <w:rFonts w:hint="eastAsia" w:eastAsia="宋体"/>
          <w:color w:val="auto"/>
          <w:sz w:val="20"/>
          <w:szCs w:val="20"/>
          <w:lang w:val="en-US" w:eastAsia="zh-CN"/>
        </w:rPr>
        <w:t xml:space="preserve">However, regarding to all of these UAI, we raise a common concern: Under the high speed of up to 1200km/h, whether the report from UE can be received by the NW in time enough? If not, it would be meaningless. </w:t>
      </w:r>
    </w:p>
    <w:p>
      <w:pPr>
        <w:pStyle w:val="4"/>
        <w:rPr>
          <w:rFonts w:hint="eastAsia"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1: Regarding to all of these UAI, a common concern is raised: Under the high speed of up to 1200km/h, whether the report from UE can be received by the NW in time enough? If not, it would be meaningless.</w:t>
      </w:r>
    </w:p>
    <w:p>
      <w:pPr>
        <w:pStyle w:val="4"/>
        <w:rPr>
          <w:rFonts w:hint="default" w:eastAsia="宋体"/>
          <w:color w:val="auto"/>
          <w:sz w:val="20"/>
          <w:szCs w:val="20"/>
          <w:lang w:val="en-US" w:eastAsia="zh-CN"/>
        </w:rPr>
      </w:pPr>
      <w:r>
        <w:rPr>
          <w:rFonts w:hint="default" w:eastAsia="宋体"/>
          <w:color w:val="auto"/>
          <w:sz w:val="20"/>
          <w:szCs w:val="20"/>
          <w:lang w:val="en-US" w:eastAsia="zh-CN"/>
        </w:rPr>
        <w:t>To our understanding, when we talking about whether UE need to report the UAI or not, a key point is whether UE performs pre-compensation. If UE would perform time/frequency pre-compensation, the UAI such as altitude, location</w:t>
      </w:r>
      <w:r>
        <w:rPr>
          <w:rFonts w:hint="eastAsia" w:eastAsia="宋体"/>
          <w:color w:val="auto"/>
          <w:sz w:val="20"/>
          <w:szCs w:val="20"/>
          <w:lang w:val="en-US" w:eastAsia="zh-CN"/>
        </w:rPr>
        <w:t>,</w:t>
      </w:r>
      <w:r>
        <w:rPr>
          <w:rFonts w:hint="default" w:eastAsia="宋体"/>
          <w:color w:val="auto"/>
          <w:sz w:val="20"/>
          <w:szCs w:val="20"/>
          <w:lang w:val="en-US" w:eastAsia="zh-CN"/>
        </w:rPr>
        <w:t xml:space="preserve"> velocity </w:t>
      </w:r>
      <w:r>
        <w:rPr>
          <w:rFonts w:hint="eastAsia" w:eastAsia="宋体"/>
          <w:color w:val="auto"/>
          <w:sz w:val="20"/>
          <w:szCs w:val="20"/>
          <w:lang w:val="en-US" w:eastAsia="zh-CN"/>
        </w:rPr>
        <w:t xml:space="preserve">and flight path </w:t>
      </w:r>
      <w:r>
        <w:rPr>
          <w:rFonts w:hint="default" w:eastAsia="宋体"/>
          <w:color w:val="auto"/>
          <w:sz w:val="20"/>
          <w:szCs w:val="20"/>
          <w:lang w:val="en-US" w:eastAsia="zh-CN"/>
        </w:rPr>
        <w:t xml:space="preserve">are almost useless for NW. </w:t>
      </w:r>
    </w:p>
    <w:p>
      <w:pPr>
        <w:pStyle w:val="4"/>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 xml:space="preserve">Observation 2: If UE would perform time/frequency pre-compensation, the UAI such as altitude, location, velocity and flight path are almost useless for NW. </w:t>
      </w:r>
    </w:p>
    <w:p>
      <w:pPr>
        <w:pStyle w:val="4"/>
        <w:rPr>
          <w:rFonts w:hint="eastAsia" w:eastAsia="宋体"/>
          <w:color w:val="auto"/>
          <w:sz w:val="20"/>
          <w:szCs w:val="20"/>
          <w:lang w:val="en-US" w:eastAsia="zh-CN"/>
        </w:rPr>
      </w:pPr>
      <w:r>
        <w:rPr>
          <w:rFonts w:hint="default" w:eastAsia="宋体"/>
          <w:color w:val="auto"/>
          <w:sz w:val="20"/>
          <w:szCs w:val="20"/>
          <w:lang w:val="en-US" w:eastAsia="zh-CN"/>
        </w:rPr>
        <w:t>Referring to the timing related UAI, such as propagation delay estimation, such info can help NW to identify the overlapping between DL slot and UL slot due to large propagation delay</w:t>
      </w:r>
      <w:r>
        <w:rPr>
          <w:rFonts w:hint="eastAsia" w:eastAsia="宋体"/>
          <w:color w:val="auto"/>
          <w:sz w:val="20"/>
          <w:szCs w:val="20"/>
          <w:lang w:val="en-US" w:eastAsia="zh-CN"/>
        </w:rPr>
        <w:t xml:space="preserve"> so as to help NW identify the suitable TDD pattern</w:t>
      </w:r>
      <w:r>
        <w:rPr>
          <w:rFonts w:hint="default" w:eastAsia="宋体"/>
          <w:color w:val="auto"/>
          <w:sz w:val="20"/>
          <w:szCs w:val="20"/>
          <w:lang w:val="en-US" w:eastAsia="zh-CN"/>
        </w:rPr>
        <w:t xml:space="preserve">. </w:t>
      </w:r>
      <w:r>
        <w:rPr>
          <w:rFonts w:hint="eastAsia" w:eastAsia="宋体"/>
          <w:color w:val="auto"/>
          <w:sz w:val="20"/>
          <w:szCs w:val="20"/>
          <w:lang w:val="en-US" w:eastAsia="zh-CN"/>
        </w:rPr>
        <w:t>But the gain brought by such UAI depends on the common concern, whether the report is in time enough. When UE estimate the propagation delay, it should predict the value when NW receives such UAI report. The accuracy of such predict would determine the effect.</w:t>
      </w:r>
    </w:p>
    <w:p>
      <w:pPr>
        <w:pStyle w:val="4"/>
        <w:rPr>
          <w:rFonts w:hint="eastAsia"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3: When UE estimate the propagation delay, it should predict the value when NW receives such UAI report. The accuracy of such predict would determine the effect.</w:t>
      </w:r>
    </w:p>
    <w:p>
      <w:pPr>
        <w:pStyle w:val="4"/>
        <w:rPr>
          <w:rFonts w:hint="eastAsia" w:eastAsia="宋体"/>
          <w:color w:val="auto"/>
          <w:sz w:val="20"/>
          <w:szCs w:val="20"/>
          <w:lang w:val="en-US" w:eastAsia="zh-CN"/>
        </w:rPr>
      </w:pPr>
      <w:r>
        <w:rPr>
          <w:rFonts w:hint="eastAsia" w:eastAsia="宋体"/>
          <w:color w:val="auto"/>
          <w:sz w:val="20"/>
          <w:szCs w:val="20"/>
          <w:lang w:val="en-US" w:eastAsia="zh-CN"/>
        </w:rPr>
        <w:t>Regarding to the service related UAI, such as the remaining service time, we are not sure how to estimate such info by UE, Since all scheduling decision is up to NW.</w:t>
      </w:r>
    </w:p>
    <w:p>
      <w:pPr>
        <w:pStyle w:val="4"/>
        <w:rPr>
          <w:rFonts w:hint="eastAsia"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4: Regarding to the service related UAI, such as the remaining service time, we are not sure how to estimate such info by UE, Since all scheduling decision is up to NW.</w:t>
      </w:r>
    </w:p>
    <w:p>
      <w:pPr>
        <w:pStyle w:val="4"/>
        <w:rPr>
          <w:rFonts w:hint="default" w:eastAsia="宋体"/>
          <w:color w:val="auto"/>
          <w:sz w:val="20"/>
          <w:szCs w:val="20"/>
          <w:lang w:val="en-US" w:eastAsia="zh-CN"/>
        </w:rPr>
      </w:pPr>
      <w:r>
        <w:rPr>
          <w:rFonts w:hint="eastAsia" w:eastAsia="宋体"/>
          <w:color w:val="auto"/>
          <w:sz w:val="20"/>
          <w:szCs w:val="20"/>
          <w:lang w:val="en-US" w:eastAsia="zh-CN"/>
        </w:rPr>
        <w:t>In a whole, based on our above analysis, we can not see obvious motivation and feasibility guarantee to introduce the above UAI report.</w:t>
      </w:r>
    </w:p>
    <w:p>
      <w:pPr>
        <w:pStyle w:val="4"/>
        <w:rPr>
          <w:rFonts w:hint="eastAsia"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3: Based on our above analysis, we can not see obvious motivation and feasibility guarantee to introduce the above UAI report.</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consideration of general RRM aspects for ATG system</w:t>
      </w:r>
      <w:r>
        <w:rPr>
          <w:rFonts w:eastAsia="宋体"/>
          <w:bCs/>
          <w:color w:val="auto"/>
          <w:sz w:val="20"/>
          <w:szCs w:val="20"/>
          <w:lang w:val="en-GB" w:eastAsia="zh-CN"/>
        </w:rPr>
        <w:t>:</w:t>
      </w:r>
    </w:p>
    <w:p>
      <w:pPr>
        <w:pStyle w:val="4"/>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1: Restriction on the duplex mode and SCS may lead to some unnecessary exclusion too early. We can specify the combination of duplex mode and SCS at perf part and not provide any restriction at this stage. So the combination between FDD/TDD and 15kHz/30kHz are all possible.</w:t>
      </w:r>
    </w:p>
    <w:p>
      <w:pPr>
        <w:pStyle w:val="4"/>
        <w:rPr>
          <w:rFonts w:hint="default" w:eastAsia="宋体"/>
          <w:b/>
          <w:sz w:val="20"/>
          <w:szCs w:val="20"/>
          <w:highlight w:val="none"/>
          <w:u w:val="single"/>
          <w:lang w:val="en-US" w:eastAsia="zh-CN"/>
        </w:rPr>
      </w:pPr>
      <w:r>
        <w:rPr>
          <w:rFonts w:hint="eastAsia" w:eastAsia="宋体" w:cs="Times New Roman"/>
          <w:b/>
          <w:bCs/>
          <w:color w:val="auto"/>
          <w:sz w:val="20"/>
          <w:szCs w:val="20"/>
          <w:highlight w:val="none"/>
          <w:lang w:val="en-US" w:eastAsia="zh-CN" w:bidi="ar-SA"/>
        </w:rPr>
        <w:t>Proposal 2: Referring to TDD pattern for ATG, the exact TDD pattern should be up to NW configuration, and the longer flexible and longer periodicity are expected by ATG UE.</w:t>
      </w:r>
    </w:p>
    <w:p>
      <w:pPr>
        <w:pStyle w:val="4"/>
        <w:rPr>
          <w:rFonts w:hint="eastAsia"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1: Regarding to all of these UAI, a common concern is raised: Under the high speed of up to 1200km/h, whether the report from UE can be received by the NW in time enough? If not, it would be meaningless.</w:t>
      </w:r>
    </w:p>
    <w:p>
      <w:pPr>
        <w:pStyle w:val="4"/>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 xml:space="preserve">Observation 2: If UE would perform time/frequency pre-compensation, the UAI such as altitude, location, velocity and flight path are almost useless for NW. </w:t>
      </w:r>
    </w:p>
    <w:p>
      <w:pPr>
        <w:pStyle w:val="4"/>
        <w:rPr>
          <w:rFonts w:hint="eastAsia"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3: When UE estimate the propagation delay, it should predict the value when NW receives such UAI report. The accuracy of such predict would determine the effect.</w:t>
      </w:r>
    </w:p>
    <w:p>
      <w:pPr>
        <w:pStyle w:val="4"/>
        <w:rPr>
          <w:rFonts w:hint="eastAsia"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4: Regarding to the service related UAI, such as the remaining service time, we are not sure how to estimate such info by UE, Since all scheduling decision is up to NW.</w:t>
      </w:r>
    </w:p>
    <w:p>
      <w:pPr>
        <w:pStyle w:val="4"/>
        <w:rPr>
          <w:rFonts w:eastAsia="宋体"/>
          <w:bCs/>
          <w:color w:val="auto"/>
          <w:sz w:val="20"/>
          <w:szCs w:val="20"/>
          <w:lang w:val="en-GB" w:eastAsia="zh-CN"/>
        </w:rPr>
      </w:pPr>
      <w:r>
        <w:rPr>
          <w:rFonts w:hint="eastAsia" w:eastAsia="宋体" w:cs="Times New Roman"/>
          <w:b/>
          <w:bCs/>
          <w:color w:val="auto"/>
          <w:sz w:val="20"/>
          <w:szCs w:val="20"/>
          <w:highlight w:val="none"/>
          <w:lang w:val="en-US" w:eastAsia="zh-CN" w:bidi="ar-SA"/>
        </w:rPr>
        <w:t>Proposal 3: Based on our above analysis, we can not see obvious motivation and feasibility guarantee to introduce the above UAI report.</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7"/>
        </w:numPr>
        <w:ind w:leftChars="0"/>
        <w:rPr>
          <w:rFonts w:hint="default" w:eastAsia="宋体"/>
          <w:color w:val="auto"/>
          <w:lang w:val="en-US" w:eastAsia="zh-CN"/>
        </w:rPr>
      </w:pPr>
      <w:r>
        <w:rPr>
          <w:rFonts w:hint="eastAsia"/>
          <w:lang w:val="en-US" w:eastAsia="zh-CN"/>
        </w:rPr>
        <w:t>RP-22</w:t>
      </w:r>
      <w:r>
        <w:rPr>
          <w:rFonts w:hint="eastAsia"/>
          <w:highlight w:val="none"/>
          <w:lang w:val="en-US" w:eastAsia="zh-CN"/>
        </w:rPr>
        <w:t>1369</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on Air-to-ground network for NR</w:t>
      </w:r>
      <w:r>
        <w:rPr>
          <w:rFonts w:hint="default"/>
          <w:color w:val="auto"/>
          <w:highlight w:val="none"/>
          <w:lang w:val="en-US" w:eastAsia="zh-CN"/>
        </w:rPr>
        <w:t>”</w:t>
      </w:r>
      <w:r>
        <w:rPr>
          <w:rFonts w:hint="eastAsia"/>
          <w:color w:val="auto"/>
          <w:highlight w:val="none"/>
          <w:lang w:val="en-US" w:eastAsia="zh-CN"/>
        </w:rPr>
        <w:t xml:space="preserve">, CMCC </w:t>
      </w:r>
    </w:p>
    <w:p>
      <w:pPr>
        <w:pStyle w:val="9"/>
        <w:numPr>
          <w:ilvl w:val="0"/>
          <w:numId w:val="0"/>
        </w:numPr>
        <w:ind w:leftChars="0"/>
        <w:rPr>
          <w:rFonts w:hint="default" w:eastAsia="宋体"/>
          <w:color w:val="auto"/>
          <w:lang w:val="en-US" w:eastAsia="zh-CN"/>
        </w:rPr>
      </w:pPr>
      <w:r>
        <w:rPr>
          <w:rFonts w:hint="eastAsia"/>
          <w:color w:val="auto"/>
          <w:lang w:val="en-US" w:eastAsia="zh-CN"/>
        </w:rPr>
        <w:t xml:space="preserve">[2] RP-2217256 </w:t>
      </w:r>
      <w:r>
        <w:rPr>
          <w:rFonts w:hint="default"/>
          <w:color w:val="auto"/>
          <w:lang w:val="en-US" w:eastAsia="zh-CN"/>
        </w:rPr>
        <w:t>“</w:t>
      </w:r>
      <w:bookmarkStart w:id="1" w:name="_Hlk41145953"/>
      <w:r>
        <w:rPr>
          <w:rFonts w:hint="default"/>
          <w:color w:val="auto"/>
          <w:lang w:val="en-US" w:eastAsia="zh-CN"/>
        </w:rPr>
        <w:t>WF on NR ATG RRM</w:t>
      </w:r>
      <w:bookmarkEnd w:id="1"/>
      <w:r>
        <w:rPr>
          <w:rFonts w:hint="default"/>
          <w:color w:val="auto"/>
          <w:lang w:val="en-US" w:eastAsia="zh-CN"/>
        </w:rPr>
        <w:t xml:space="preserve"> core requirements”</w:t>
      </w:r>
      <w:r>
        <w:rPr>
          <w:rFonts w:hint="eastAsia"/>
          <w:color w:val="auto"/>
          <w:lang w:val="en-US" w:eastAsia="zh-CN"/>
        </w:rPr>
        <w:t>, CMCC</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auto"/>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DCA40B1"/>
    <w:multiLevelType w:val="multilevel"/>
    <w:tmpl w:val="3DCA40B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Times New Roman" w:hAnsi="Times New Roman" w:eastAsia="宋体" w:cs="Times New Roman"/>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E50CD3B"/>
    <w:multiLevelType w:val="singleLevel"/>
    <w:tmpl w:val="3E50CD3B"/>
    <w:lvl w:ilvl="0" w:tentative="0">
      <w:start w:val="1"/>
      <w:numFmt w:val="bullet"/>
      <w:lvlText w:val=""/>
      <w:lvlJc w:val="left"/>
      <w:pPr>
        <w:ind w:left="420" w:hanging="420"/>
      </w:pPr>
      <w:rPr>
        <w:rFonts w:hint="default" w:ascii="Wingdings" w:hAnsi="Wingdings"/>
      </w:rPr>
    </w:lvl>
  </w:abstractNum>
  <w:abstractNum w:abstractNumId="4">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4"/>
  </w:num>
  <w:num w:numId="3">
    <w:abstractNumId w:val="1"/>
  </w:num>
  <w:num w:numId="4">
    <w:abstractNumId w:val="2"/>
  </w:num>
  <w:num w:numId="5">
    <w:abstractNumId w:val="5"/>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793516"/>
    <w:rsid w:val="047A3CFF"/>
    <w:rsid w:val="05317828"/>
    <w:rsid w:val="05477E90"/>
    <w:rsid w:val="05BB5AB9"/>
    <w:rsid w:val="05C42923"/>
    <w:rsid w:val="06226EA6"/>
    <w:rsid w:val="06963BA6"/>
    <w:rsid w:val="07CD3CDD"/>
    <w:rsid w:val="083E6EA0"/>
    <w:rsid w:val="0855671D"/>
    <w:rsid w:val="089009EB"/>
    <w:rsid w:val="08EA2407"/>
    <w:rsid w:val="09716BCA"/>
    <w:rsid w:val="09D64B23"/>
    <w:rsid w:val="09E644B8"/>
    <w:rsid w:val="0A867423"/>
    <w:rsid w:val="0AB155C2"/>
    <w:rsid w:val="0B12013A"/>
    <w:rsid w:val="0B3D3C2F"/>
    <w:rsid w:val="0BB0429A"/>
    <w:rsid w:val="0BDD6CEC"/>
    <w:rsid w:val="0BFF5FC6"/>
    <w:rsid w:val="0C394019"/>
    <w:rsid w:val="0CD05342"/>
    <w:rsid w:val="0CDB4E5B"/>
    <w:rsid w:val="0DEE745F"/>
    <w:rsid w:val="0FAD3D1E"/>
    <w:rsid w:val="102263EF"/>
    <w:rsid w:val="10997F43"/>
    <w:rsid w:val="10DE7BAE"/>
    <w:rsid w:val="120774A3"/>
    <w:rsid w:val="12112440"/>
    <w:rsid w:val="12887761"/>
    <w:rsid w:val="14006D19"/>
    <w:rsid w:val="1481754F"/>
    <w:rsid w:val="148F32AB"/>
    <w:rsid w:val="148F5721"/>
    <w:rsid w:val="14AC57CD"/>
    <w:rsid w:val="15ED3E9B"/>
    <w:rsid w:val="164514BE"/>
    <w:rsid w:val="166B2EA9"/>
    <w:rsid w:val="16D4089E"/>
    <w:rsid w:val="16E73296"/>
    <w:rsid w:val="16FB7CA4"/>
    <w:rsid w:val="170F06AA"/>
    <w:rsid w:val="17225508"/>
    <w:rsid w:val="17B07FBC"/>
    <w:rsid w:val="180A6E32"/>
    <w:rsid w:val="183F2CD2"/>
    <w:rsid w:val="1856323E"/>
    <w:rsid w:val="18AF55E3"/>
    <w:rsid w:val="18B077E2"/>
    <w:rsid w:val="18B1519A"/>
    <w:rsid w:val="18CD0507"/>
    <w:rsid w:val="18F36BA5"/>
    <w:rsid w:val="195D7D48"/>
    <w:rsid w:val="1AD01A1B"/>
    <w:rsid w:val="1B61065A"/>
    <w:rsid w:val="1BBF3927"/>
    <w:rsid w:val="1C177B08"/>
    <w:rsid w:val="1C9001C6"/>
    <w:rsid w:val="1CBA2101"/>
    <w:rsid w:val="1D0573D7"/>
    <w:rsid w:val="1D153DC4"/>
    <w:rsid w:val="1D223E0B"/>
    <w:rsid w:val="1D317C9F"/>
    <w:rsid w:val="1E132F88"/>
    <w:rsid w:val="1E2867E9"/>
    <w:rsid w:val="1E853F6F"/>
    <w:rsid w:val="1E9C7BCC"/>
    <w:rsid w:val="1ECC1E3C"/>
    <w:rsid w:val="208364FC"/>
    <w:rsid w:val="208953F9"/>
    <w:rsid w:val="2097232D"/>
    <w:rsid w:val="21014C39"/>
    <w:rsid w:val="21244EB1"/>
    <w:rsid w:val="213964D8"/>
    <w:rsid w:val="21595D04"/>
    <w:rsid w:val="21F13629"/>
    <w:rsid w:val="223236B6"/>
    <w:rsid w:val="2255462C"/>
    <w:rsid w:val="2305377E"/>
    <w:rsid w:val="23901822"/>
    <w:rsid w:val="24122135"/>
    <w:rsid w:val="24D4257E"/>
    <w:rsid w:val="2572202B"/>
    <w:rsid w:val="2605683C"/>
    <w:rsid w:val="26BB1419"/>
    <w:rsid w:val="27B748AA"/>
    <w:rsid w:val="27CB4CB9"/>
    <w:rsid w:val="281C2F58"/>
    <w:rsid w:val="29642C4B"/>
    <w:rsid w:val="2A34628C"/>
    <w:rsid w:val="2A724D05"/>
    <w:rsid w:val="2A7E505C"/>
    <w:rsid w:val="2AC85686"/>
    <w:rsid w:val="2AD04B5F"/>
    <w:rsid w:val="2BC05B2C"/>
    <w:rsid w:val="2BD617C5"/>
    <w:rsid w:val="2C112837"/>
    <w:rsid w:val="2C9B1252"/>
    <w:rsid w:val="2C9C2786"/>
    <w:rsid w:val="2CC13667"/>
    <w:rsid w:val="2E014790"/>
    <w:rsid w:val="2EE77680"/>
    <w:rsid w:val="2F2F0FC8"/>
    <w:rsid w:val="2FA70460"/>
    <w:rsid w:val="301C6BB6"/>
    <w:rsid w:val="319708F2"/>
    <w:rsid w:val="31A8260E"/>
    <w:rsid w:val="31B14C9E"/>
    <w:rsid w:val="332B149D"/>
    <w:rsid w:val="33C522D7"/>
    <w:rsid w:val="344C156B"/>
    <w:rsid w:val="34807672"/>
    <w:rsid w:val="35B06C6A"/>
    <w:rsid w:val="366149EB"/>
    <w:rsid w:val="36941AA2"/>
    <w:rsid w:val="36D37423"/>
    <w:rsid w:val="379D23F9"/>
    <w:rsid w:val="3A185287"/>
    <w:rsid w:val="3A1F46B8"/>
    <w:rsid w:val="3A692CD0"/>
    <w:rsid w:val="3AAE4AA7"/>
    <w:rsid w:val="3AF23299"/>
    <w:rsid w:val="3B270929"/>
    <w:rsid w:val="3B3D5571"/>
    <w:rsid w:val="3B673620"/>
    <w:rsid w:val="3B9A1F29"/>
    <w:rsid w:val="3CE4646B"/>
    <w:rsid w:val="3CFC1228"/>
    <w:rsid w:val="3D5E7AA8"/>
    <w:rsid w:val="3D6F2596"/>
    <w:rsid w:val="3D946587"/>
    <w:rsid w:val="405F175E"/>
    <w:rsid w:val="40C765F3"/>
    <w:rsid w:val="42F869D2"/>
    <w:rsid w:val="43553536"/>
    <w:rsid w:val="44972678"/>
    <w:rsid w:val="451632B9"/>
    <w:rsid w:val="45906394"/>
    <w:rsid w:val="45F60A50"/>
    <w:rsid w:val="46142D0C"/>
    <w:rsid w:val="46263A53"/>
    <w:rsid w:val="46970A81"/>
    <w:rsid w:val="46B036BF"/>
    <w:rsid w:val="46CC320F"/>
    <w:rsid w:val="47282363"/>
    <w:rsid w:val="47810C98"/>
    <w:rsid w:val="47924F0A"/>
    <w:rsid w:val="48F407FD"/>
    <w:rsid w:val="49DC4EAC"/>
    <w:rsid w:val="49E55BC5"/>
    <w:rsid w:val="4A5D0BB5"/>
    <w:rsid w:val="4B600E77"/>
    <w:rsid w:val="4B8F684D"/>
    <w:rsid w:val="4BF02011"/>
    <w:rsid w:val="4C1C63D6"/>
    <w:rsid w:val="4C2D52ED"/>
    <w:rsid w:val="4C864A35"/>
    <w:rsid w:val="4D207A05"/>
    <w:rsid w:val="4D53283E"/>
    <w:rsid w:val="4E015C76"/>
    <w:rsid w:val="4E310026"/>
    <w:rsid w:val="4E4A2325"/>
    <w:rsid w:val="4FC7362A"/>
    <w:rsid w:val="501A6C55"/>
    <w:rsid w:val="515B1740"/>
    <w:rsid w:val="51B14BED"/>
    <w:rsid w:val="52526454"/>
    <w:rsid w:val="525C1CEF"/>
    <w:rsid w:val="528B5767"/>
    <w:rsid w:val="52D33625"/>
    <w:rsid w:val="53A3105E"/>
    <w:rsid w:val="53C64B93"/>
    <w:rsid w:val="548A6C60"/>
    <w:rsid w:val="55B1164D"/>
    <w:rsid w:val="55B4735E"/>
    <w:rsid w:val="55BB221D"/>
    <w:rsid w:val="56371459"/>
    <w:rsid w:val="56484633"/>
    <w:rsid w:val="57FF4799"/>
    <w:rsid w:val="58D0053D"/>
    <w:rsid w:val="595A2A3C"/>
    <w:rsid w:val="598C40A0"/>
    <w:rsid w:val="59DA647E"/>
    <w:rsid w:val="5A556E1A"/>
    <w:rsid w:val="5BF92FF2"/>
    <w:rsid w:val="5C924E81"/>
    <w:rsid w:val="5E2864D0"/>
    <w:rsid w:val="5E494511"/>
    <w:rsid w:val="5EB44FC0"/>
    <w:rsid w:val="5FBA395F"/>
    <w:rsid w:val="60094E5C"/>
    <w:rsid w:val="606F38F4"/>
    <w:rsid w:val="60EC2CBA"/>
    <w:rsid w:val="61CC2D28"/>
    <w:rsid w:val="635902CD"/>
    <w:rsid w:val="64706BBE"/>
    <w:rsid w:val="64F2095B"/>
    <w:rsid w:val="65A16A49"/>
    <w:rsid w:val="67A858DB"/>
    <w:rsid w:val="67FE4166"/>
    <w:rsid w:val="68C401C3"/>
    <w:rsid w:val="69A833BD"/>
    <w:rsid w:val="69EF6835"/>
    <w:rsid w:val="6D566F0F"/>
    <w:rsid w:val="6D836F72"/>
    <w:rsid w:val="6DDE3DAF"/>
    <w:rsid w:val="6E3241BE"/>
    <w:rsid w:val="6E774C75"/>
    <w:rsid w:val="6EB97A9D"/>
    <w:rsid w:val="6EF10A90"/>
    <w:rsid w:val="6EFC7DED"/>
    <w:rsid w:val="6F2A7FBF"/>
    <w:rsid w:val="6FFF1868"/>
    <w:rsid w:val="715F4C2D"/>
    <w:rsid w:val="71B31077"/>
    <w:rsid w:val="722F78FB"/>
    <w:rsid w:val="723C2F8E"/>
    <w:rsid w:val="723D67C5"/>
    <w:rsid w:val="726A5F44"/>
    <w:rsid w:val="72BF60CA"/>
    <w:rsid w:val="72F41282"/>
    <w:rsid w:val="733D0D32"/>
    <w:rsid w:val="73B76769"/>
    <w:rsid w:val="73D411F1"/>
    <w:rsid w:val="74A356B2"/>
    <w:rsid w:val="753811DE"/>
    <w:rsid w:val="75BE67D4"/>
    <w:rsid w:val="75C2004C"/>
    <w:rsid w:val="75C759C1"/>
    <w:rsid w:val="76281B03"/>
    <w:rsid w:val="762D64F3"/>
    <w:rsid w:val="762E20AD"/>
    <w:rsid w:val="767E7EFF"/>
    <w:rsid w:val="775B4604"/>
    <w:rsid w:val="77C067C3"/>
    <w:rsid w:val="78074939"/>
    <w:rsid w:val="78911E31"/>
    <w:rsid w:val="78F9732D"/>
    <w:rsid w:val="7922350F"/>
    <w:rsid w:val="792B5470"/>
    <w:rsid w:val="79A66350"/>
    <w:rsid w:val="7A9367CB"/>
    <w:rsid w:val="7AF22571"/>
    <w:rsid w:val="7B0720CF"/>
    <w:rsid w:val="7B4C0E47"/>
    <w:rsid w:val="7B69224B"/>
    <w:rsid w:val="7BE80F25"/>
    <w:rsid w:val="7C1C35A7"/>
    <w:rsid w:val="7C45431D"/>
    <w:rsid w:val="7CEF4E07"/>
    <w:rsid w:val="7D25352B"/>
    <w:rsid w:val="7D3219D5"/>
    <w:rsid w:val="7DDD0501"/>
    <w:rsid w:val="7DE51372"/>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2022-11-07T14:30:21Z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